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3F63B2" w:rsidRPr="008C2219" w14:paraId="577B6515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6099CA9F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  <w:sz w:val="18"/>
                <w:szCs w:val="20"/>
              </w:rPr>
            </w:pPr>
            <w:bookmarkStart w:id="0" w:name="_top"/>
            <w:bookmarkEnd w:id="0"/>
            <w:r w:rsidRPr="008C2219">
              <w:rPr>
                <w:b/>
                <w:color w:val="203A7B"/>
                <w:sz w:val="18"/>
                <w:szCs w:val="20"/>
                <w:lang w:bidi="ru-RU"/>
              </w:rPr>
              <w:t>IB PYP Международная школа будущего Гунсо</w:t>
            </w:r>
          </w:p>
          <w:p w14:paraId="06FF2EED" w14:textId="77777777" w:rsidR="003F63B2" w:rsidRPr="008C2219" w:rsidRDefault="003F63B2" w:rsidP="008C2219">
            <w:pPr>
              <w:wordWrap/>
              <w:spacing w:after="0" w:line="240" w:lineRule="auto"/>
              <w:jc w:val="center"/>
              <w:rPr>
                <w:b/>
                <w:bCs/>
                <w:color w:val="203A7B"/>
                <w:sz w:val="18"/>
                <w:szCs w:val="20"/>
              </w:rPr>
            </w:pPr>
          </w:p>
          <w:p w14:paraId="06B7E290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sz w:val="18"/>
                <w:szCs w:val="20"/>
              </w:rPr>
            </w:pPr>
            <w:r w:rsidRPr="008C2219">
              <w:rPr>
                <w:b/>
                <w:color w:val="203A7B"/>
                <w:sz w:val="18"/>
                <w:szCs w:val="20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33E1CE5E" w14:textId="77777777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3F63B2" w:rsidRPr="008C2219" w14:paraId="63D6BBC4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8B6A9A9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A2543B">
              <w:rPr>
                <w:b/>
                <w:color w:val="203A7B"/>
                <w:sz w:val="18"/>
                <w:szCs w:val="20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1297BD78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2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624C6ED9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A2543B">
              <w:rPr>
                <w:b/>
                <w:color w:val="203A7B"/>
                <w:sz w:val="18"/>
                <w:szCs w:val="20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94554E6" w14:textId="77777777" w:rsidR="003F63B2" w:rsidRPr="008C2219" w:rsidRDefault="009414DC" w:rsidP="008C2219">
            <w:pPr>
              <w:wordWrap/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С 11 июня по 17 июля 2024 г.</w:t>
            </w:r>
          </w:p>
        </w:tc>
      </w:tr>
    </w:tbl>
    <w:p w14:paraId="3FEE4198" w14:textId="77777777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3F63B2" w:rsidRPr="008C2219" w14:paraId="77739F54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32573392" w14:textId="77777777" w:rsidR="003F63B2" w:rsidRPr="008C2219" w:rsidRDefault="009414DC" w:rsidP="008C2219">
            <w:pPr>
              <w:wordWrap/>
              <w:spacing w:after="0" w:line="240" w:lineRule="auto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Здравствуйте родители!</w:t>
            </w:r>
          </w:p>
          <w:p w14:paraId="5662293A" w14:textId="77777777" w:rsidR="003F63B2" w:rsidRPr="008C2219" w:rsidRDefault="009414DC" w:rsidP="008C2219">
            <w:pPr>
              <w:wordWrap/>
              <w:spacing w:after="0" w:line="240" w:lineRule="auto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horzAnchor="margin" w:tblpXSpec="right" w:tblpY="844"/>
              <w:tblOverlap w:val="never"/>
              <w:tblW w:w="268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54"/>
              <w:gridCol w:w="830"/>
            </w:tblGrid>
            <w:tr w:rsidR="003F63B2" w:rsidRPr="008C2219" w14:paraId="6EF8D5FD" w14:textId="77777777" w:rsidTr="008C2219">
              <w:trPr>
                <w:trHeight w:val="820"/>
              </w:trPr>
              <w:tc>
                <w:tcPr>
                  <w:tcW w:w="1854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0ED470F6" w14:textId="77777777" w:rsidR="003F63B2" w:rsidRPr="008C2219" w:rsidRDefault="009414DC" w:rsidP="008C2219">
                  <w:pPr>
                    <w:wordWrap/>
                    <w:spacing w:after="0" w:line="240" w:lineRule="auto"/>
                    <w:rPr>
                      <w:sz w:val="18"/>
                      <w:szCs w:val="20"/>
                    </w:rPr>
                  </w:pPr>
                  <w:r w:rsidRPr="008C2219">
                    <w:rPr>
                      <w:noProof/>
                      <w:sz w:val="18"/>
                      <w:szCs w:val="20"/>
                      <w:lang w:bidi="ru-RU"/>
                    </w:rPr>
                    <w:drawing>
                      <wp:inline distT="0" distB="0" distL="0" distR="0" wp14:anchorId="189EF55E" wp14:editId="2537CB86">
                        <wp:extent cx="217297" cy="228981"/>
                        <wp:effectExtent l="0" t="0" r="0" b="0"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ea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2219">
                    <w:rPr>
                      <w:sz w:val="18"/>
                      <w:szCs w:val="20"/>
                      <w:lang w:bidi="ru-RU"/>
                    </w:rPr>
                    <w:t xml:space="preserve">Видео-руководство для родителей </w:t>
                  </w:r>
                </w:p>
                <w:p w14:paraId="06FE4D82" w14:textId="77777777" w:rsidR="003F63B2" w:rsidRPr="008C2219" w:rsidRDefault="009414DC" w:rsidP="008C2219">
                  <w:pPr>
                    <w:wordWrap/>
                    <w:spacing w:after="0" w:line="240" w:lineRule="auto"/>
                    <w:rPr>
                      <w:b/>
                      <w:bCs/>
                      <w:sz w:val="18"/>
                      <w:szCs w:val="20"/>
                    </w:rPr>
                  </w:pPr>
                  <w:r w:rsidRPr="008C2219">
                    <w:rPr>
                      <w:sz w:val="18"/>
                      <w:szCs w:val="20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64F03A48" w14:textId="77777777" w:rsidR="003F63B2" w:rsidRPr="008C2219" w:rsidRDefault="009414DC" w:rsidP="008C2219">
                  <w:pPr>
                    <w:wordWrap/>
                    <w:spacing w:after="0" w:line="240" w:lineRule="auto"/>
                    <w:rPr>
                      <w:b/>
                      <w:bCs/>
                      <w:sz w:val="18"/>
                      <w:szCs w:val="20"/>
                    </w:rPr>
                  </w:pPr>
                  <w:r w:rsidRPr="008C2219">
                    <w:rPr>
                      <w:b/>
                      <w:noProof/>
                      <w:sz w:val="18"/>
                      <w:szCs w:val="20"/>
                      <w:lang w:bidi="ru-RU"/>
                    </w:rPr>
                    <w:drawing>
                      <wp:inline distT="0" distB="0" distL="0" distR="0" wp14:anchorId="6887AC3E" wp14:editId="6F4425E5">
                        <wp:extent cx="428787" cy="381802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eb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700" cy="385287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B363216" w14:textId="77777777" w:rsidR="003F63B2" w:rsidRPr="008C2219" w:rsidRDefault="009414DC" w:rsidP="008C2219">
            <w:pPr>
              <w:wordWrap/>
              <w:spacing w:after="0" w:line="240" w:lineRule="auto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8C2219">
              <w:rPr>
                <w:b/>
                <w:sz w:val="18"/>
                <w:szCs w:val="20"/>
                <w:lang w:bidi="ru-RU"/>
              </w:rPr>
              <w:t>ы и окажите поддержку в их обучении.</w:t>
            </w:r>
          </w:p>
          <w:p w14:paraId="492C547A" w14:textId="77777777" w:rsidR="003F63B2" w:rsidRPr="008C2219" w:rsidRDefault="009414DC" w:rsidP="008C2219">
            <w:pPr>
              <w:wordWrap/>
              <w:spacing w:after="0" w:line="240" w:lineRule="auto"/>
              <w:rPr>
                <w:b/>
                <w:bCs/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 xml:space="preserve">Благодарим вас за проявленный интерес и содействие. </w:t>
            </w:r>
          </w:p>
          <w:p w14:paraId="44B1A808" w14:textId="77777777" w:rsidR="003F63B2" w:rsidRDefault="009414DC" w:rsidP="008C2219">
            <w:pPr>
              <w:wordWrap/>
              <w:spacing w:after="0" w:line="240" w:lineRule="auto"/>
              <w:rPr>
                <w:b/>
                <w:bCs/>
                <w:color w:val="FFC000" w:themeColor="accent4"/>
                <w:sz w:val="18"/>
                <w:szCs w:val="20"/>
              </w:rPr>
            </w:pPr>
            <w:r w:rsidRPr="008C2219">
              <w:rPr>
                <w:b/>
                <w:color w:val="FFC000" w:themeColor="accent4"/>
                <w:sz w:val="18"/>
                <w:szCs w:val="20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8C2219">
              <w:rPr>
                <w:color w:val="FFC000" w:themeColor="accent4"/>
                <w:sz w:val="18"/>
                <w:szCs w:val="20"/>
                <w:lang w:bidi="ru-RU"/>
              </w:rPr>
              <w:br/>
            </w:r>
            <w:r w:rsidRPr="008C2219">
              <w:rPr>
                <w:b/>
                <w:color w:val="FFC000" w:themeColor="accent4"/>
                <w:sz w:val="18"/>
                <w:szCs w:val="20"/>
                <w:lang w:bidi="ru-RU"/>
              </w:rPr>
              <w:t xml:space="preserve"> в классе.</w:t>
            </w:r>
          </w:p>
          <w:p w14:paraId="396647CE" w14:textId="77777777" w:rsidR="008C2219" w:rsidRPr="008C2219" w:rsidRDefault="008C2219" w:rsidP="008C2219">
            <w:pPr>
              <w:wordWrap/>
              <w:spacing w:after="0" w:line="240" w:lineRule="auto"/>
              <w:rPr>
                <w:b/>
                <w:bCs/>
                <w:color w:val="FFC000" w:themeColor="accent4"/>
                <w:sz w:val="18"/>
                <w:szCs w:val="20"/>
              </w:rPr>
            </w:pPr>
          </w:p>
          <w:p w14:paraId="6E882155" w14:textId="77777777" w:rsidR="003F63B2" w:rsidRPr="008C2219" w:rsidRDefault="009414DC" w:rsidP="008C2219">
            <w:pPr>
              <w:wordWrap/>
              <w:spacing w:after="0" w:line="240" w:lineRule="auto"/>
              <w:jc w:val="right"/>
              <w:rPr>
                <w:sz w:val="18"/>
                <w:szCs w:val="20"/>
              </w:rPr>
            </w:pPr>
            <w:r w:rsidRPr="008C2219">
              <w:rPr>
                <w:b/>
                <w:sz w:val="18"/>
                <w:szCs w:val="20"/>
                <w:lang w:bidi="ru-RU"/>
              </w:rPr>
              <w:t>Международная школа будущего Гунсо</w:t>
            </w:r>
          </w:p>
        </w:tc>
      </w:tr>
    </w:tbl>
    <w:p w14:paraId="29B4579F" w14:textId="77777777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p w14:paraId="06923D37" w14:textId="75E91513" w:rsidR="003F63B2" w:rsidRPr="008C2219" w:rsidRDefault="008C2219" w:rsidP="008C2219">
      <w:pPr>
        <w:wordWrap/>
        <w:spacing w:after="0" w:line="240" w:lineRule="auto"/>
        <w:rPr>
          <w:sz w:val="18"/>
          <w:szCs w:val="20"/>
        </w:rPr>
      </w:pPr>
      <w:r w:rsidRPr="008C2219">
        <w:rPr>
          <w:noProof/>
          <w:sz w:val="14"/>
          <w:szCs w:val="16"/>
          <w:lang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A673A" wp14:editId="510FD6C6">
                <wp:simplePos x="0" y="0"/>
                <wp:positionH relativeFrom="column">
                  <wp:posOffset>388800</wp:posOffset>
                </wp:positionH>
                <wp:positionV relativeFrom="paragraph">
                  <wp:posOffset>57600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3B6C8" w14:textId="77777777" w:rsidR="008C2219" w:rsidRPr="00404CBB" w:rsidRDefault="008C2219" w:rsidP="008C221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A67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6pt;margin-top:4.55pt;width:111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" fillcolor="white [3212]" stroked="f" strokeweight=".5pt">
                <v:textbox style="mso-fit-shape-to-text:t">
                  <w:txbxContent>
                    <w:p w14:paraId="1AD3B6C8" w14:textId="77777777" w:rsidR="008C2219" w:rsidRPr="00404CBB" w:rsidRDefault="008C2219" w:rsidP="008C2219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8C2219">
        <w:rPr>
          <w:noProof/>
          <w:sz w:val="18"/>
          <w:szCs w:val="20"/>
          <w:lang w:bidi="ru-RU"/>
        </w:rPr>
        <w:drawing>
          <wp:inline distT="0" distB="0" distL="0" distR="0" wp14:anchorId="5004F328" wp14:editId="4BBC9546">
            <wp:extent cx="2058670" cy="367030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219">
        <w:rPr>
          <w:sz w:val="18"/>
          <w:szCs w:val="20"/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3F63B2" w:rsidRPr="008C2219" w14:paraId="39B7AA56" w14:textId="77777777">
        <w:trPr>
          <w:trHeight w:val="3197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3432147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rFonts w:ascii="Courier New" w:eastAsia="Courier New" w:hAnsi="Courier New" w:cs="Courier New"/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1606069" w14:textId="77777777" w:rsidR="003F63B2" w:rsidRPr="008C2219" w:rsidRDefault="009414DC" w:rsidP="008C2219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433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Прошло время, и ребенок, любивший в детстве закат, полюбил горький рассвет. Никто не может гарантировать, что его текущие интересы останутся такими же и в следующем месяце, и в следующем году. Вот почему важно записывать и выражать свои мысли в данный моме</w:t>
            </w:r>
            <w:r w:rsidRPr="008C2219">
              <w:rPr>
                <w:sz w:val="18"/>
                <w:szCs w:val="20"/>
                <w:lang w:bidi="ru-RU"/>
              </w:rPr>
              <w:t>нт. Мы надеемся, что в далеком будущем вы станете человеком, который сможет самостоятельно разбираться в своих мыслях, используя различные способы поиска интересов.</w:t>
            </w:r>
          </w:p>
          <w:p w14:paraId="595F57C9" w14:textId="77777777" w:rsidR="003F63B2" w:rsidRPr="008C2219" w:rsidRDefault="009414DC" w:rsidP="008C2219">
            <w:pPr>
              <w:pStyle w:val="ListParagraph"/>
              <w:numPr>
                <w:ilvl w:val="0"/>
                <w:numId w:val="9"/>
              </w:numPr>
              <w:wordWrap/>
              <w:spacing w:after="0" w:line="240" w:lineRule="auto"/>
              <w:ind w:leftChars="0" w:left="433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Черный - это цвет, который может дать кому-то утешение, кому-то грусть, кому-то надежду. Бл</w:t>
            </w:r>
            <w:r w:rsidRPr="008C2219">
              <w:rPr>
                <w:sz w:val="18"/>
                <w:szCs w:val="20"/>
                <w:lang w:bidi="ru-RU"/>
              </w:rPr>
              <w:t>агодаря большому количеству общения с другими людьми мы планируем предоставить возможность глубоко понимать людей. Кроме того, мы планируем разнообразить наши методы самовыражения, чтобы на собственном опыте убедиться, что методы общения также не имеют гра</w:t>
            </w:r>
            <w:r w:rsidRPr="008C2219">
              <w:rPr>
                <w:sz w:val="18"/>
                <w:szCs w:val="20"/>
                <w:lang w:bidi="ru-RU"/>
              </w:rPr>
              <w:t>ниц. Мы надеемся, что этот UOI расширит кругозор учеников.</w:t>
            </w:r>
          </w:p>
        </w:tc>
      </w:tr>
      <w:tr w:rsidR="003F63B2" w:rsidRPr="008C2219" w14:paraId="6E08FBB9" w14:textId="77777777" w:rsidTr="008C2219">
        <w:trPr>
          <w:trHeight w:val="298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60E89CC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6C927D0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Способы самовыражения</w:t>
            </w:r>
          </w:p>
        </w:tc>
      </w:tr>
      <w:tr w:rsidR="003F63B2" w:rsidRPr="008C2219" w14:paraId="548346F0" w14:textId="77777777" w:rsidTr="008C2219">
        <w:trPr>
          <w:trHeight w:val="36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9ADEC01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043CFAF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Интересы людей могут вдохновлять на художественное творчество.</w:t>
            </w:r>
          </w:p>
        </w:tc>
      </w:tr>
      <w:tr w:rsidR="003F63B2" w:rsidRPr="008C2219" w14:paraId="4371D17C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454146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AE5FD56" w14:textId="77777777" w:rsidR="003F63B2" w:rsidRPr="008C2219" w:rsidRDefault="009414DC" w:rsidP="008C2219">
            <w:pPr>
              <w:pStyle w:val="ListParagraph"/>
              <w:numPr>
                <w:ilvl w:val="0"/>
                <w:numId w:val="10"/>
              </w:numPr>
              <w:wordWrap/>
              <w:spacing w:after="0" w:line="240" w:lineRule="auto"/>
              <w:ind w:leftChars="0" w:left="475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Список расследований 1: Раскрыть интересы (Перспектива)</w:t>
            </w:r>
          </w:p>
          <w:p w14:paraId="24349D18" w14:textId="77777777" w:rsidR="003F63B2" w:rsidRPr="008C2219" w:rsidRDefault="009414DC" w:rsidP="008C2219">
            <w:pPr>
              <w:pStyle w:val="ListParagraph"/>
              <w:numPr>
                <w:ilvl w:val="0"/>
                <w:numId w:val="10"/>
              </w:numPr>
              <w:wordWrap/>
              <w:spacing w:after="0" w:line="240" w:lineRule="auto"/>
              <w:ind w:leftChars="0" w:left="475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Список расследований 2: Художественное представление интересов (Изменение)</w:t>
            </w:r>
          </w:p>
          <w:p w14:paraId="117B54D3" w14:textId="77777777" w:rsidR="003F63B2" w:rsidRPr="008C2219" w:rsidRDefault="009414DC" w:rsidP="008C2219">
            <w:pPr>
              <w:pStyle w:val="ListParagraph"/>
              <w:numPr>
                <w:ilvl w:val="0"/>
                <w:numId w:val="10"/>
              </w:numPr>
              <w:wordWrap/>
              <w:spacing w:after="0" w:line="240" w:lineRule="auto"/>
              <w:ind w:leftChars="0" w:left="475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Список расследований 3: Художественная практика (Причинная связь)</w:t>
            </w:r>
          </w:p>
        </w:tc>
      </w:tr>
      <w:tr w:rsidR="003F63B2" w:rsidRPr="008C2219" w14:paraId="5367C5AC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07E49AF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7DD6491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rFonts w:ascii="Cambria Math" w:eastAsia="Cambria Math" w:hAnsi="Cambria Math" w:cs="Cambria Math"/>
                <w:sz w:val="18"/>
                <w:szCs w:val="20"/>
                <w:lang w:bidi="ru-RU"/>
              </w:rPr>
              <w:t>⍌</w:t>
            </w:r>
            <w:r w:rsidRPr="008C2219">
              <w:rPr>
                <w:rFonts w:ascii="Cambria Math" w:eastAsia="Cambria Math" w:hAnsi="Cambria Math" w:cs="Cambria Math"/>
                <w:sz w:val="18"/>
                <w:szCs w:val="20"/>
                <w:lang w:bidi="ru-RU"/>
              </w:rPr>
              <w:t xml:space="preserve"> </w:t>
            </w:r>
            <w:r w:rsidRPr="008C2219">
              <w:rPr>
                <w:sz w:val="18"/>
                <w:szCs w:val="20"/>
                <w:lang w:bidi="ru-RU"/>
              </w:rPr>
              <w:t xml:space="preserve">Перспектива  </w:t>
            </w:r>
            <w:r w:rsidRPr="008C2219">
              <w:rPr>
                <w:rFonts w:ascii="Cambria Math" w:eastAsia="Cambria Math" w:hAnsi="Cambria Math" w:cs="Cambria Math"/>
                <w:sz w:val="18"/>
                <w:szCs w:val="20"/>
                <w:lang w:bidi="ru-RU"/>
              </w:rPr>
              <w:t>⍌</w:t>
            </w:r>
            <w:r w:rsidRPr="008C2219">
              <w:rPr>
                <w:sz w:val="18"/>
                <w:szCs w:val="20"/>
                <w:lang w:bidi="ru-RU"/>
              </w:rPr>
              <w:t xml:space="preserve"> Изменение  </w:t>
            </w:r>
            <w:r w:rsidRPr="008C2219">
              <w:rPr>
                <w:rFonts w:ascii="Cambria Math" w:eastAsia="Cambria Math" w:hAnsi="Cambria Math" w:cs="Cambria Math"/>
                <w:sz w:val="18"/>
                <w:szCs w:val="20"/>
                <w:lang w:bidi="ru-RU"/>
              </w:rPr>
              <w:t>⍌</w:t>
            </w:r>
            <w:r w:rsidRPr="008C2219">
              <w:rPr>
                <w:sz w:val="18"/>
                <w:szCs w:val="20"/>
                <w:lang w:bidi="ru-RU"/>
              </w:rPr>
              <w:t xml:space="preserve"> Причинная связь</w:t>
            </w:r>
          </w:p>
        </w:tc>
      </w:tr>
      <w:tr w:rsidR="003F63B2" w:rsidRPr="008C2219" w14:paraId="2A5EEAF5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F174943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lastRenderedPageBreak/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B62758B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Интересы (язык, жесты, искусство)</w:t>
            </w:r>
          </w:p>
          <w:p w14:paraId="1B44260C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Выразительность (цвет, техника выражения, материал)</w:t>
            </w:r>
          </w:p>
          <w:p w14:paraId="207457F4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Вдохновение (взаимоотношения интересов)</w:t>
            </w:r>
          </w:p>
        </w:tc>
      </w:tr>
      <w:tr w:rsidR="003F63B2" w:rsidRPr="008C2219" w14:paraId="1F2A873A" w14:textId="77777777" w:rsidTr="008C2219">
        <w:trPr>
          <w:trHeight w:val="23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6687F24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1E23C2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Коммуникативная функция (обмен информацией), исследовательская функция (медиаграмотность), мыслительная функция (способность к творческому мышлению)</w:t>
            </w:r>
          </w:p>
        </w:tc>
      </w:tr>
      <w:tr w:rsidR="003F63B2" w:rsidRPr="008C2219" w14:paraId="2DC3CA95" w14:textId="77777777" w:rsidTr="008C2219">
        <w:trPr>
          <w:trHeight w:val="41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D92747E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68BD6FF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Открытый человек, человек, интересующийся вопросами, мыслитель</w:t>
            </w:r>
          </w:p>
        </w:tc>
      </w:tr>
      <w:tr w:rsidR="003F63B2" w:rsidRPr="008C2219" w14:paraId="6F5D4970" w14:textId="77777777">
        <w:trPr>
          <w:trHeight w:val="6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3F76B7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8"/>
                <w:szCs w:val="20"/>
              </w:rPr>
            </w:pP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▪</w:t>
            </w:r>
            <w:r w:rsidRPr="00492B3A">
              <w:rPr>
                <w:b/>
                <w:color w:val="203A7B"/>
                <w:sz w:val="18"/>
                <w:szCs w:val="20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5CBA3A59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8"/>
                <w:szCs w:val="20"/>
              </w:rPr>
            </w:pPr>
            <w:r w:rsidRPr="008C2219">
              <w:rPr>
                <w:sz w:val="18"/>
                <w:szCs w:val="20"/>
                <w:lang w:bidi="ru-RU"/>
              </w:rPr>
              <w:t>Понимание искусства разных времен и стран и творческое выражение своих мыслей на его основе</w:t>
            </w:r>
          </w:p>
        </w:tc>
      </w:tr>
    </w:tbl>
    <w:p w14:paraId="3F12ACAE" w14:textId="77777777" w:rsidR="008C2219" w:rsidRDefault="008C2219">
      <w:pPr>
        <w:widowControl/>
        <w:wordWrap/>
        <w:autoSpaceDE/>
        <w:autoSpaceDN/>
        <w:rPr>
          <w:sz w:val="18"/>
          <w:szCs w:val="20"/>
        </w:rPr>
      </w:pPr>
      <w:r>
        <w:rPr>
          <w:sz w:val="18"/>
          <w:szCs w:val="20"/>
          <w:lang w:bidi="ru-RU"/>
        </w:rPr>
        <w:br w:type="page"/>
      </w:r>
    </w:p>
    <w:p w14:paraId="236A1CE4" w14:textId="6C43AA38" w:rsidR="003F63B2" w:rsidRPr="008C2219" w:rsidRDefault="008C2219" w:rsidP="008C2219">
      <w:pPr>
        <w:wordWrap/>
        <w:spacing w:after="0" w:line="240" w:lineRule="auto"/>
        <w:rPr>
          <w:sz w:val="18"/>
          <w:szCs w:val="20"/>
        </w:rPr>
      </w:pPr>
      <w:r w:rsidRPr="008C2219">
        <w:rPr>
          <w:noProof/>
          <w:sz w:val="14"/>
          <w:szCs w:val="16"/>
          <w:lang w:bidi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21216" wp14:editId="67CA808E">
                <wp:simplePos x="0" y="0"/>
                <wp:positionH relativeFrom="column">
                  <wp:posOffset>458915</wp:posOffset>
                </wp:positionH>
                <wp:positionV relativeFrom="paragraph">
                  <wp:posOffset>65689</wp:posOffset>
                </wp:positionV>
                <wp:extent cx="1411200" cy="194665"/>
                <wp:effectExtent l="0" t="0" r="0" b="0"/>
                <wp:wrapNone/>
                <wp:docPr id="18661000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776F6B" w14:textId="3A998EAD" w:rsidR="008C2219" w:rsidRPr="00404CBB" w:rsidRDefault="008C2219" w:rsidP="008C221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1216" id="_x0000_s1027" type="#_x0000_t202" style="position:absolute;left:0;text-align:left;margin-left:36.15pt;margin-top:5.1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" fillcolor="white [3212]" stroked="f" strokeweight=".5pt">
                <v:textbox style="mso-fit-shape-to-text:t">
                  <w:txbxContent>
                    <w:p w14:paraId="4A776F6B" w14:textId="3A998EAD" w:rsidR="008C2219" w:rsidRPr="00404CBB" w:rsidRDefault="008C2219" w:rsidP="008C2219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Pr="008C2219">
        <w:rPr>
          <w:noProof/>
          <w:sz w:val="18"/>
          <w:szCs w:val="20"/>
          <w:lang w:bidi="ru-RU"/>
        </w:rPr>
        <w:drawing>
          <wp:inline distT="0" distB="0" distL="0" distR="0" wp14:anchorId="68F133C0" wp14:editId="19F7CE7B">
            <wp:extent cx="2058670" cy="367030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67"/>
        <w:gridCol w:w="8272"/>
      </w:tblGrid>
      <w:tr w:rsidR="003F63B2" w:rsidRPr="008C2219" w14:paraId="6C0BE4E4" w14:textId="77777777">
        <w:trPr>
          <w:trHeight w:val="515"/>
        </w:trPr>
        <w:tc>
          <w:tcPr>
            <w:tcW w:w="1367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8E32A00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8272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DCF0D4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[2Гук 02-05] Проявлять интерес к чтению и получать удовольствие от чтения.</w:t>
            </w:r>
          </w:p>
          <w:p w14:paraId="0B3E31DF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[2Гук 06-01] Иметь интерес и интерес к различным средствам массовой информации и медиаматериалам в повседневной жизни.</w:t>
            </w:r>
          </w:p>
        </w:tc>
      </w:tr>
      <w:tr w:rsidR="003F63B2" w:rsidRPr="008C2219" w14:paraId="07EAD824" w14:textId="77777777">
        <w:trPr>
          <w:trHeight w:val="1816"/>
        </w:trPr>
        <w:tc>
          <w:tcPr>
            <w:tcW w:w="1367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F58F777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Интегрированная учебная программа</w:t>
            </w:r>
          </w:p>
        </w:tc>
        <w:tc>
          <w:tcPr>
            <w:tcW w:w="8272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31A54CA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[2Ба 04-02] Выработать открытое отношение к разнообразным мыслям и мнениям.</w:t>
            </w:r>
          </w:p>
          <w:p w14:paraId="1433AAF1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[2Гук 02-04] Читая текст, угадать чувства или мысли персонажа и сравнить их со своими.</w:t>
            </w:r>
          </w:p>
          <w:p w14:paraId="1D31A610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[2Сыль 03-03] Изучить прошлое и настоящее интересующего об</w:t>
            </w:r>
            <w:r w:rsidRPr="008C2219">
              <w:rPr>
                <w:sz w:val="16"/>
                <w:szCs w:val="18"/>
                <w:lang w:bidi="ru-RU"/>
              </w:rPr>
              <w:t>ъекта и представить его будущее.</w:t>
            </w:r>
          </w:p>
          <w:p w14:paraId="14BC645E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[2Гук 05-03] Представить себе внешний вид, действия и чувства героев произведения и выразить их через стихи, песни, рассказы и картины.</w:t>
            </w:r>
          </w:p>
          <w:p w14:paraId="1A63389A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[2Сыль 04-02] Реализовать все то, что представили, с помощью различных средств массовой</w:t>
            </w:r>
            <w:r w:rsidRPr="008C2219">
              <w:rPr>
                <w:sz w:val="16"/>
                <w:szCs w:val="18"/>
                <w:lang w:bidi="ru-RU"/>
              </w:rPr>
              <w:t xml:space="preserve"> информации и материалов.</w:t>
            </w:r>
          </w:p>
          <w:p w14:paraId="6B7F263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[2Джыль04-02] Свободно фантазировать и играть.</w:t>
            </w:r>
          </w:p>
        </w:tc>
      </w:tr>
    </w:tbl>
    <w:p w14:paraId="625C9B08" w14:textId="13155632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p w14:paraId="15B46258" w14:textId="263925D9" w:rsidR="003F63B2" w:rsidRPr="008C2219" w:rsidRDefault="008C2219" w:rsidP="008C2219">
      <w:pPr>
        <w:wordWrap/>
        <w:spacing w:after="0" w:line="240" w:lineRule="auto"/>
        <w:rPr>
          <w:sz w:val="18"/>
          <w:szCs w:val="20"/>
        </w:rPr>
      </w:pPr>
      <w:r w:rsidRPr="008C2219">
        <w:rPr>
          <w:noProof/>
          <w:sz w:val="14"/>
          <w:szCs w:val="16"/>
          <w:lang w:bidi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1AADB" wp14:editId="6016ED20">
                <wp:simplePos x="0" y="0"/>
                <wp:positionH relativeFrom="column">
                  <wp:posOffset>459285</wp:posOffset>
                </wp:positionH>
                <wp:positionV relativeFrom="paragraph">
                  <wp:posOffset>51018</wp:posOffset>
                </wp:positionV>
                <wp:extent cx="1411200" cy="194665"/>
                <wp:effectExtent l="0" t="0" r="0" b="0"/>
                <wp:wrapNone/>
                <wp:docPr id="16065412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604D3" w14:textId="79D8C0C6" w:rsidR="008C2219" w:rsidRPr="00404CBB" w:rsidRDefault="008C2219" w:rsidP="008C221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1AADB" id="_x0000_s1028" type="#_x0000_t202" style="position:absolute;left:0;text-align:left;margin-left:36.15pt;margin-top:4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" fillcolor="white [3212]" stroked="f" strokeweight=".5pt">
                <v:textbox style="mso-fit-shape-to-text:t">
                  <w:txbxContent>
                    <w:p w14:paraId="7AE604D3" w14:textId="79D8C0C6" w:rsidR="008C2219" w:rsidRPr="00404CBB" w:rsidRDefault="008C2219" w:rsidP="008C2219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Pr="008C2219">
        <w:rPr>
          <w:noProof/>
          <w:sz w:val="18"/>
          <w:szCs w:val="20"/>
          <w:lang w:bidi="ru-RU"/>
        </w:rPr>
        <w:drawing>
          <wp:inline distT="0" distB="0" distL="0" distR="0" wp14:anchorId="085B2E03" wp14:editId="10F6E085">
            <wp:extent cx="2058670" cy="367030"/>
            <wp:effectExtent l="0" t="0" r="0" b="0"/>
            <wp:docPr id="1739971938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23"/>
        <w:gridCol w:w="8216"/>
      </w:tblGrid>
      <w:tr w:rsidR="003F63B2" w:rsidRPr="008C2219" w14:paraId="04C4718B" w14:textId="77777777" w:rsidTr="008C2219">
        <w:trPr>
          <w:trHeight w:val="1618"/>
        </w:trPr>
        <w:tc>
          <w:tcPr>
            <w:tcW w:w="1423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42D74AE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8215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EE1FF38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4. Измерение длины</w:t>
            </w:r>
          </w:p>
          <w:p w14:paraId="5F08D02C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Изучение: что такое 1 см, измерение длины линейкой, оценивание длины</w:t>
            </w:r>
          </w:p>
          <w:p w14:paraId="7027171A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5. Классифицирование</w:t>
            </w:r>
          </w:p>
          <w:p w14:paraId="26AE2899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Классифицирование по критериям, классифицирование и предоставление результатов</w:t>
            </w:r>
          </w:p>
          <w:p w14:paraId="02583BA5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6. Умножение</w:t>
            </w:r>
          </w:p>
          <w:p w14:paraId="0DF4D60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Понимание принципов умножения, изучение кратных чисел</w:t>
            </w:r>
          </w:p>
        </w:tc>
      </w:tr>
      <w:tr w:rsidR="003F63B2" w:rsidRPr="008C2219" w14:paraId="5491B967" w14:textId="77777777" w:rsidTr="008C2219">
        <w:trPr>
          <w:trHeight w:val="878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F448A2E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0375F8C1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 xml:space="preserve"> 1. Посмотреть видео «Зверополис» и поговорить о том, что есть в нашем городе и что еще нам нужно. </w:t>
            </w:r>
          </w:p>
          <w:p w14:paraId="5FD4C945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 xml:space="preserve"> 2. Дать лист с заданием и выучить слова, которые показаны в видео.</w:t>
            </w:r>
          </w:p>
          <w:p w14:paraId="013A4F03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3. Украсить дере</w:t>
            </w:r>
            <w:r w:rsidRPr="008C2219">
              <w:rPr>
                <w:sz w:val="16"/>
                <w:szCs w:val="18"/>
                <w:lang w:bidi="ru-RU"/>
              </w:rPr>
              <w:t>вню, которую хотим.</w:t>
            </w:r>
          </w:p>
          <w:p w14:paraId="34F5CBA1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 xml:space="preserve"> 4. Представить свою утопию.</w:t>
            </w:r>
          </w:p>
        </w:tc>
      </w:tr>
      <w:tr w:rsidR="003F63B2" w:rsidRPr="008C2219" w14:paraId="4778F01B" w14:textId="77777777" w:rsidTr="008C2219">
        <w:trPr>
          <w:trHeight w:val="1561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582888F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BBDB9E8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*</w:t>
            </w:r>
            <w:r w:rsidRPr="008C2219">
              <w:rPr>
                <w:sz w:val="16"/>
                <w:szCs w:val="18"/>
                <w:lang w:bidi="ru-RU"/>
              </w:rPr>
              <w:t>我的一天</w:t>
            </w:r>
            <w:r w:rsidRPr="008C2219">
              <w:rPr>
                <w:sz w:val="16"/>
                <w:szCs w:val="18"/>
                <w:lang w:bidi="ru-RU"/>
              </w:rPr>
              <w:t>: Мой день</w:t>
            </w:r>
          </w:p>
          <w:p w14:paraId="2891B8BF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</w:t>
            </w:r>
            <w:r w:rsidRPr="008C2219">
              <w:rPr>
                <w:rFonts w:ascii="MS Mincho" w:eastAsia="MS Mincho" w:hAnsi="MS Mincho" w:cs="MS Mincho" w:hint="eastAsia"/>
                <w:sz w:val="16"/>
                <w:szCs w:val="18"/>
                <w:lang w:bidi="ru-RU"/>
              </w:rPr>
              <w:t>学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习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肢体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语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言</w:t>
            </w:r>
            <w:r w:rsidRPr="008C2219">
              <w:rPr>
                <w:rFonts w:ascii="MS Mincho" w:eastAsia="MS Mincho" w:hAnsi="MS Mincho" w:cs="MS Mincho" w:hint="eastAsia"/>
                <w:sz w:val="16"/>
                <w:szCs w:val="18"/>
                <w:lang w:bidi="ru-RU"/>
              </w:rPr>
              <w:t>与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口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语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表</w:t>
            </w:r>
            <w:r w:rsidRPr="008C2219">
              <w:rPr>
                <w:rFonts w:ascii="MS Mincho" w:eastAsia="MS Mincho" w:hAnsi="MS Mincho" w:cs="MS Mincho" w:hint="eastAsia"/>
                <w:sz w:val="16"/>
                <w:szCs w:val="18"/>
                <w:lang w:bidi="ru-RU"/>
              </w:rPr>
              <w:t>达</w:t>
            </w:r>
            <w:r w:rsidRPr="008C2219">
              <w:rPr>
                <w:sz w:val="16"/>
                <w:szCs w:val="18"/>
                <w:lang w:bidi="ru-RU"/>
              </w:rPr>
              <w:t>&amp;</w:t>
            </w:r>
            <w:r w:rsidRPr="008C2219">
              <w:rPr>
                <w:sz w:val="16"/>
                <w:szCs w:val="18"/>
                <w:lang w:bidi="ru-RU"/>
              </w:rPr>
              <w:t>游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戏对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猜</w:t>
            </w:r>
            <w:r w:rsidRPr="008C2219">
              <w:rPr>
                <w:sz w:val="16"/>
                <w:szCs w:val="18"/>
                <w:lang w:bidi="ru-RU"/>
              </w:rPr>
              <w:t>。</w:t>
            </w:r>
          </w:p>
          <w:p w14:paraId="79694B74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-Говорить языком тела и учиться через викторину</w:t>
            </w:r>
          </w:p>
          <w:p w14:paraId="578099B3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*</w:t>
            </w:r>
            <w:r w:rsidRPr="008C2219">
              <w:rPr>
                <w:sz w:val="16"/>
                <w:szCs w:val="18"/>
                <w:lang w:bidi="ru-RU"/>
              </w:rPr>
              <w:t>尊重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长辈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，友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爱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同</w:t>
            </w:r>
            <w:r w:rsidRPr="008C2219">
              <w:rPr>
                <w:rFonts w:ascii="MS Mincho" w:eastAsia="MS Mincho" w:hAnsi="MS Mincho" w:cs="MS Mincho" w:hint="eastAsia"/>
                <w:sz w:val="16"/>
                <w:szCs w:val="18"/>
                <w:lang w:bidi="ru-RU"/>
              </w:rPr>
              <w:t>学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。</w:t>
            </w:r>
          </w:p>
          <w:p w14:paraId="7B954BE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-Уважать взрослых и заботиться о друзьях</w:t>
            </w:r>
          </w:p>
          <w:p w14:paraId="298DE1FE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</w:t>
            </w:r>
            <w:r w:rsidRPr="008C2219">
              <w:rPr>
                <w:sz w:val="16"/>
                <w:szCs w:val="18"/>
                <w:lang w:bidi="ru-RU"/>
              </w:rPr>
              <w:t>看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图说话</w:t>
            </w:r>
            <w:r w:rsidRPr="008C2219">
              <w:rPr>
                <w:sz w:val="16"/>
                <w:szCs w:val="18"/>
                <w:lang w:bidi="ru-RU"/>
              </w:rPr>
              <w:t>(Посмотреть на картинку и рассказать о ней)</w:t>
            </w:r>
          </w:p>
          <w:p w14:paraId="4323978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*</w:t>
            </w:r>
            <w:r w:rsidRPr="008C2219">
              <w:rPr>
                <w:sz w:val="16"/>
                <w:szCs w:val="18"/>
                <w:lang w:bidi="ru-RU"/>
              </w:rPr>
              <w:t>中</w:t>
            </w:r>
            <w:r w:rsidRPr="008C2219">
              <w:rPr>
                <w:rFonts w:ascii="MS Mincho" w:eastAsia="MS Mincho" w:hAnsi="MS Mincho" w:cs="MS Mincho" w:hint="eastAsia"/>
                <w:sz w:val="16"/>
                <w:szCs w:val="18"/>
                <w:lang w:bidi="ru-RU"/>
              </w:rPr>
              <w:t>国</w:t>
            </w:r>
            <w:r w:rsidRPr="008C2219">
              <w:rPr>
                <w:rFonts w:ascii="Malgun Gothic" w:eastAsia="Malgun Gothic" w:hAnsi="Malgun Gothic" w:cs="Malgun Gothic" w:hint="eastAsia"/>
                <w:sz w:val="16"/>
                <w:szCs w:val="18"/>
                <w:lang w:bidi="ru-RU"/>
              </w:rPr>
              <w:t>童</w:t>
            </w:r>
            <w:r w:rsidRPr="008C2219">
              <w:rPr>
                <w:rFonts w:ascii="Microsoft JhengHei" w:eastAsia="Microsoft JhengHei" w:hAnsi="Microsoft JhengHei" w:cs="Microsoft JhengHei" w:hint="eastAsia"/>
                <w:sz w:val="16"/>
                <w:szCs w:val="18"/>
                <w:lang w:bidi="ru-RU"/>
              </w:rPr>
              <w:t>谣</w:t>
            </w:r>
            <w:r w:rsidRPr="008C2219">
              <w:rPr>
                <w:sz w:val="16"/>
                <w:szCs w:val="18"/>
                <w:lang w:bidi="ru-RU"/>
              </w:rPr>
              <w:t>-Учить китайский с детскими песнями</w:t>
            </w:r>
          </w:p>
        </w:tc>
      </w:tr>
      <w:tr w:rsidR="003F63B2" w:rsidRPr="008C2219" w14:paraId="101D6BA0" w14:textId="77777777">
        <w:trPr>
          <w:trHeight w:val="276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5A02264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B53FCF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Наслаждаться традиционными играми с традиционными игровыми инструментами, украшенными своими любимыми фигурками и цветами.</w:t>
            </w:r>
          </w:p>
        </w:tc>
      </w:tr>
      <w:tr w:rsidR="003F63B2" w:rsidRPr="008C2219" w14:paraId="7EC9DA51" w14:textId="77777777">
        <w:trPr>
          <w:trHeight w:val="276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3B69A63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492B3A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Art&amp;Play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1F4DA9D3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 Изучение правильного выражение свои эмоций, и знакомство с Хэнгамба</w:t>
            </w:r>
          </w:p>
          <w:p w14:paraId="0178BFA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 Как искренне извиниться, узнать про Инсаяк</w:t>
            </w:r>
          </w:p>
          <w:p w14:paraId="105DEFEC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- Выражение через ролевую игру Инсаяк и Хэнгамба</w:t>
            </w:r>
          </w:p>
        </w:tc>
      </w:tr>
    </w:tbl>
    <w:p w14:paraId="67893BE3" w14:textId="14959385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p w14:paraId="16CB740B" w14:textId="49492364" w:rsidR="003F63B2" w:rsidRPr="008C2219" w:rsidRDefault="008C2219" w:rsidP="008C2219">
      <w:pPr>
        <w:wordWrap/>
        <w:spacing w:after="0" w:line="240" w:lineRule="auto"/>
        <w:rPr>
          <w:sz w:val="18"/>
          <w:szCs w:val="20"/>
        </w:rPr>
      </w:pPr>
      <w:r w:rsidRPr="008C2219">
        <w:rPr>
          <w:noProof/>
          <w:sz w:val="14"/>
          <w:szCs w:val="16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8B156C" wp14:editId="56C19651">
                <wp:simplePos x="0" y="0"/>
                <wp:positionH relativeFrom="column">
                  <wp:posOffset>381815</wp:posOffset>
                </wp:positionH>
                <wp:positionV relativeFrom="paragraph">
                  <wp:posOffset>57198</wp:posOffset>
                </wp:positionV>
                <wp:extent cx="1411200" cy="194665"/>
                <wp:effectExtent l="0" t="0" r="0" b="0"/>
                <wp:wrapNone/>
                <wp:docPr id="20394560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6DC82D" w14:textId="0AC072B2" w:rsidR="008C2219" w:rsidRPr="00404CBB" w:rsidRDefault="008C2219" w:rsidP="008C221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156C" id="_x0000_s1029" type="#_x0000_t202" style="position:absolute;left:0;text-align:left;margin-left:30.05pt;margin-top:4.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" fillcolor="white [3212]" stroked="f" strokeweight=".5pt">
                <v:textbox style="mso-fit-shape-to-text:t">
                  <w:txbxContent>
                    <w:p w14:paraId="796DC82D" w14:textId="0AC072B2" w:rsidR="008C2219" w:rsidRPr="00404CBB" w:rsidRDefault="008C2219" w:rsidP="008C2219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Pr="008C2219">
        <w:rPr>
          <w:noProof/>
          <w:sz w:val="18"/>
          <w:szCs w:val="20"/>
          <w:lang w:bidi="ru-RU"/>
        </w:rPr>
        <w:drawing>
          <wp:inline distT="0" distB="0" distL="0" distR="0" wp14:anchorId="2D00D3BA" wp14:editId="7CC87710">
            <wp:extent cx="2058670" cy="367030"/>
            <wp:effectExtent l="0" t="0" r="0" b="0"/>
            <wp:docPr id="421852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3994"/>
        <w:gridCol w:w="3995"/>
      </w:tblGrid>
      <w:tr w:rsidR="003F63B2" w:rsidRPr="008C2219" w14:paraId="53E0ECD8" w14:textId="77777777">
        <w:trPr>
          <w:trHeight w:val="776"/>
        </w:trPr>
        <w:tc>
          <w:tcPr>
            <w:tcW w:w="1650" w:type="dxa"/>
            <w:vMerge w:val="restart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62F9826" w14:textId="77777777" w:rsidR="003F63B2" w:rsidRPr="00492B3A" w:rsidRDefault="009414DC" w:rsidP="008C2219">
            <w:pPr>
              <w:wordWrap/>
              <w:spacing w:after="0" w:line="240" w:lineRule="auto"/>
              <w:rPr>
                <w:b/>
                <w:bCs/>
                <w:sz w:val="16"/>
                <w:szCs w:val="18"/>
              </w:rPr>
            </w:pP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492B3A">
              <w:rPr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gridSpan w:val="2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AECAE9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 xml:space="preserve">[Чтение книг о выражении эмоций] </w:t>
            </w:r>
          </w:p>
          <w:p w14:paraId="24F2A6F5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 xml:space="preserve">Чтение книг по теме исследования дома </w:t>
            </w:r>
          </w:p>
          <w:p w14:paraId="0BFBBF2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обогатит исследования учащегося.</w:t>
            </w:r>
          </w:p>
        </w:tc>
      </w:tr>
      <w:tr w:rsidR="003F63B2" w:rsidRPr="008C2219" w14:paraId="1B0A356C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6EB04B7" w14:textId="77777777" w:rsidR="003F63B2" w:rsidRPr="008C2219" w:rsidRDefault="003F63B2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3120D00D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Волшебная конфета (автор Пэк Хи На)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52DA4808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Такие облака (автор Джон Джон)</w:t>
            </w:r>
          </w:p>
        </w:tc>
      </w:tr>
      <w:tr w:rsidR="003F63B2" w:rsidRPr="008C2219" w14:paraId="69EF89B1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1B033E4" w14:textId="77777777" w:rsidR="003F63B2" w:rsidRPr="008C2219" w:rsidRDefault="003F63B2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0FC3B2DC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Азбука чувств девятилетнего (автор Пак Сон У)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1B14D4E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Поезд души (автор Бо Рам)</w:t>
            </w:r>
          </w:p>
        </w:tc>
      </w:tr>
      <w:tr w:rsidR="003F63B2" w:rsidRPr="008C2219" w14:paraId="04C42E87" w14:textId="77777777">
        <w:trPr>
          <w:trHeight w:val="516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25823BC5" w14:textId="77777777" w:rsidR="003F63B2" w:rsidRPr="008C2219" w:rsidRDefault="003F63B2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103BC0B2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Эмоциональный</w:t>
            </w:r>
          </w:p>
          <w:p w14:paraId="5F5C351E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(автор Кристина Нуньес Перейра)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F6EB289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Что я чувствую? (автор Ким Се Силь)</w:t>
            </w:r>
          </w:p>
        </w:tc>
      </w:tr>
      <w:tr w:rsidR="003F63B2" w:rsidRPr="008C2219" w14:paraId="5AA1E736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539B526" w14:textId="77777777" w:rsidR="003F63B2" w:rsidRPr="008C2219" w:rsidRDefault="003F63B2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41E77747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Разноцветный монстр (автор Анна Льенас)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7D7BE06" w14:textId="77777777" w:rsidR="003F63B2" w:rsidRPr="008C2219" w:rsidRDefault="009414DC" w:rsidP="008C2219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8C2219">
              <w:rPr>
                <w:sz w:val="16"/>
                <w:szCs w:val="18"/>
                <w:lang w:bidi="ru-RU"/>
              </w:rPr>
              <w:t>Дай названия эмоциям (автор Ли Лайла)</w:t>
            </w:r>
          </w:p>
        </w:tc>
      </w:tr>
    </w:tbl>
    <w:p w14:paraId="102FE633" w14:textId="77777777" w:rsidR="003F63B2" w:rsidRPr="008C2219" w:rsidRDefault="003F63B2" w:rsidP="008C2219">
      <w:pPr>
        <w:wordWrap/>
        <w:spacing w:after="0" w:line="240" w:lineRule="auto"/>
        <w:rPr>
          <w:sz w:val="18"/>
          <w:szCs w:val="20"/>
        </w:rPr>
      </w:pPr>
    </w:p>
    <w:sectPr w:rsidR="003F63B2" w:rsidRPr="008C2219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E172E" w14:textId="77777777" w:rsidR="006158BD" w:rsidRDefault="006158BD" w:rsidP="008C2219">
      <w:pPr>
        <w:spacing w:after="0" w:line="240" w:lineRule="auto"/>
      </w:pPr>
      <w:r>
        <w:separator/>
      </w:r>
    </w:p>
  </w:endnote>
  <w:endnote w:type="continuationSeparator" w:id="0">
    <w:p w14:paraId="72579AEB" w14:textId="77777777" w:rsidR="006158BD" w:rsidRDefault="006158BD" w:rsidP="008C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YHeadLine-Medium">
    <w:altName w:val="HY헤드라인M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848E9" w14:textId="77777777" w:rsidR="006158BD" w:rsidRDefault="006158BD" w:rsidP="008C2219">
      <w:pPr>
        <w:spacing w:after="0" w:line="240" w:lineRule="auto"/>
      </w:pPr>
      <w:r>
        <w:separator/>
      </w:r>
    </w:p>
  </w:footnote>
  <w:footnote w:type="continuationSeparator" w:id="0">
    <w:p w14:paraId="183C2AF1" w14:textId="77777777" w:rsidR="006158BD" w:rsidRDefault="006158BD" w:rsidP="008C2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40B9"/>
    <w:multiLevelType w:val="multilevel"/>
    <w:tmpl w:val="75F239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" w15:restartNumberingAfterBreak="0">
    <w:nsid w:val="039C2606"/>
    <w:multiLevelType w:val="multilevel"/>
    <w:tmpl w:val="ECA28C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1A6668D5"/>
    <w:multiLevelType w:val="multilevel"/>
    <w:tmpl w:val="F51849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3AD95B4B"/>
    <w:multiLevelType w:val="hybridMultilevel"/>
    <w:tmpl w:val="3D1E2408"/>
    <w:lvl w:ilvl="0" w:tplc="90B29A2A">
      <w:start w:val="1"/>
      <w:numFmt w:val="bullet"/>
      <w:suff w:val="space"/>
      <w:lvlText w:val=""/>
      <w:lvlJc w:val="left"/>
    </w:lvl>
    <w:lvl w:ilvl="1" w:tplc="DF08D6D8">
      <w:numFmt w:val="decimal"/>
      <w:lvlText w:val=""/>
      <w:lvlJc w:val="left"/>
    </w:lvl>
    <w:lvl w:ilvl="2" w:tplc="98EAF59C">
      <w:numFmt w:val="decimal"/>
      <w:lvlText w:val=""/>
      <w:lvlJc w:val="left"/>
    </w:lvl>
    <w:lvl w:ilvl="3" w:tplc="EB0CC874">
      <w:numFmt w:val="decimal"/>
      <w:lvlText w:val=""/>
      <w:lvlJc w:val="left"/>
    </w:lvl>
    <w:lvl w:ilvl="4" w:tplc="8FD43CDE">
      <w:numFmt w:val="decimal"/>
      <w:lvlText w:val=""/>
      <w:lvlJc w:val="left"/>
    </w:lvl>
    <w:lvl w:ilvl="5" w:tplc="76DAEF14">
      <w:numFmt w:val="decimal"/>
      <w:lvlText w:val=""/>
      <w:lvlJc w:val="left"/>
    </w:lvl>
    <w:lvl w:ilvl="6" w:tplc="951E2D02">
      <w:numFmt w:val="decimal"/>
      <w:lvlText w:val=""/>
      <w:lvlJc w:val="left"/>
    </w:lvl>
    <w:lvl w:ilvl="7" w:tplc="32124D2A">
      <w:numFmt w:val="decimal"/>
      <w:lvlText w:val=""/>
      <w:lvlJc w:val="left"/>
    </w:lvl>
    <w:lvl w:ilvl="8" w:tplc="D3447BA6">
      <w:numFmt w:val="decimal"/>
      <w:lvlText w:val=""/>
      <w:lvlJc w:val="left"/>
    </w:lvl>
  </w:abstractNum>
  <w:abstractNum w:abstractNumId="4" w15:restartNumberingAfterBreak="0">
    <w:nsid w:val="425574B9"/>
    <w:multiLevelType w:val="multilevel"/>
    <w:tmpl w:val="472E1D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5" w15:restartNumberingAfterBreak="0">
    <w:nsid w:val="44647895"/>
    <w:multiLevelType w:val="hybridMultilevel"/>
    <w:tmpl w:val="28CA33D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4BFD5AC8"/>
    <w:multiLevelType w:val="multilevel"/>
    <w:tmpl w:val="CD7C8F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57A63D78"/>
    <w:multiLevelType w:val="multilevel"/>
    <w:tmpl w:val="DACC79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60C81113"/>
    <w:multiLevelType w:val="hybridMultilevel"/>
    <w:tmpl w:val="BFC2278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77165BA0"/>
    <w:multiLevelType w:val="multilevel"/>
    <w:tmpl w:val="B35ED4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3B2"/>
    <w:rsid w:val="003F63B2"/>
    <w:rsid w:val="00492B3A"/>
    <w:rsid w:val="006158BD"/>
    <w:rsid w:val="007C7427"/>
    <w:rsid w:val="008C2219"/>
    <w:rsid w:val="009414DC"/>
    <w:rsid w:val="00A2543B"/>
    <w:rsid w:val="00A92F4E"/>
    <w:rsid w:val="00C60574"/>
    <w:rsid w:val="00D11652"/>
    <w:rsid w:val="00FC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A3053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8C221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C2219"/>
  </w:style>
  <w:style w:type="paragraph" w:styleId="Footer">
    <w:name w:val="footer"/>
    <w:basedOn w:val="Normal"/>
    <w:link w:val="FooterChar"/>
    <w:uiPriority w:val="99"/>
    <w:unhideWhenUsed/>
    <w:rsid w:val="008C221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C2219"/>
  </w:style>
  <w:style w:type="paragraph" w:styleId="ListParagraph">
    <w:name w:val="List Paragraph"/>
    <w:basedOn w:val="Normal"/>
    <w:uiPriority w:val="34"/>
    <w:qFormat/>
    <w:rsid w:val="008C221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4212</Characters>
  <Application>Microsoft Office Word</Application>
  <DocSecurity>4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